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0A" w:rsidRPr="00781F0A" w:rsidRDefault="00781F0A" w:rsidP="00781F0A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781F0A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SAP中的存貨計價方法：</w:t>
      </w:r>
      <w:bookmarkStart w:id="0" w:name="_GoBack"/>
      <w:r w:rsidRPr="00781F0A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移動平均法與標準價格法</w:t>
      </w:r>
      <w:bookmarkEnd w:id="0"/>
    </w:p>
    <w:p w:rsidR="00781F0A" w:rsidRPr="00781F0A" w:rsidRDefault="00781F0A" w:rsidP="00781F0A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本文主要以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SAP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為例，論述在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ERP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系統的物料移動過程中，移動平均法和標準價格法這兩種存貨計價方法的應用。</w:t>
      </w:r>
    </w:p>
    <w:p w:rsidR="00781F0A" w:rsidRPr="00781F0A" w:rsidRDefault="00781F0A" w:rsidP="00781F0A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說明：</w:t>
      </w:r>
    </w:p>
    <w:p w:rsidR="00781F0A" w:rsidRPr="00781F0A" w:rsidRDefault="00781F0A" w:rsidP="00781F0A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企業的各種存貨，由於是分散購入或分批生產形成，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同一次領用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或發出的存貨，其單位成本可能有所不同。為了合理的核算低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值易耗品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和包裝物以外的存貨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發出和領用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的價值，就需要選擇一定的計價方法，對企業發出或領用的存貨進行計價，使企業的生產成本和產品銷售成本有統一的計價標準。我國企業所得稅法和會計制度提供了幾種可供選擇的會計制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 xml:space="preserve"> 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度，如先進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先出法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、後進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先出法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、移動平均法、計劃成本法、個別計價法等計價方法。本文主要以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SAP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為例，論述在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ERP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系統的物料移動過程中，移動平均法和標準價格法這兩種存貨計價方法的應用。</w:t>
      </w:r>
    </w:p>
    <w:p w:rsidR="00781F0A" w:rsidRPr="00781F0A" w:rsidRDefault="00781F0A" w:rsidP="00781F0A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移動平均法能夠使管理當局及時瞭解存貨的結存情況，而且計算出的平均單位成本以及發出和結存的存貨成本比較客觀；標準成本法的按標準價格計價存貨，可以簡化會計處理工作，有利於考核部門業績。但二者在收發貨比較頻繁的企業，都需要進行大量的計算工作。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ERP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系統強大的數據處理功能使這方面已經不成問題，在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ERP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系統運做中，許多模塊的多數功能都涉及到物料的移動及計價，系統將他們有機的整合在一起，並產生物料憑證和會計憑證。物料憑證反映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每種物料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的移動數量、方向時間及操作員；而財務憑證反映的是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每種物料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數量和價格的變化。根據這些憑證可以跟蹤和分析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每一筆物料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的移動變化記錄。</w:t>
      </w:r>
    </w:p>
    <w:p w:rsidR="00781F0A" w:rsidRPr="00781F0A" w:rsidRDefault="00781F0A" w:rsidP="00781F0A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ERP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系統中，存貨的計價方法主要控制在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物料主檔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內。物料主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主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檔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（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Material Master Data)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包括基本數據部分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(Basic Data)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、採購部分</w:t>
      </w:r>
      <w:proofErr w:type="gramStart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（</w:t>
      </w:r>
      <w:proofErr w:type="gramEnd"/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Purchasing)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、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MRP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部分、會計部分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(Accounting)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及成本部分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(Costing)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。在建立每一種物料時，會計部分可設定選用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移動平均價格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(Moving Average Price)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還是用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計劃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/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標準價格</w:t>
      </w:r>
      <w:proofErr w:type="gramStart"/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（</w:t>
      </w:r>
      <w:proofErr w:type="gramEnd"/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Standard Price)</w:t>
      </w:r>
      <w:r w:rsidRPr="00781F0A">
        <w:rPr>
          <w:rFonts w:ascii="Helvetica" w:eastAsia="新細明體" w:hAnsi="Helvetica" w:cs="Helvetica"/>
          <w:b/>
          <w:bCs/>
          <w:color w:val="4C4C4C"/>
          <w:kern w:val="0"/>
          <w:szCs w:val="24"/>
        </w:rPr>
        <w:t>計價</w:t>
      </w:r>
      <w:r w:rsidRPr="00781F0A">
        <w:rPr>
          <w:rFonts w:ascii="Helvetica" w:eastAsia="新細明體" w:hAnsi="Helvetica" w:cs="Helvetica"/>
          <w:color w:val="4C4C4C"/>
          <w:kern w:val="0"/>
          <w:szCs w:val="24"/>
        </w:rPr>
        <w:t>。選擇相應的方法後，如果該物料已經有歷史記錄，在會計部分還可以顯示該物料的單價和庫存。</w:t>
      </w:r>
    </w:p>
    <w:p w:rsidR="00781F0A" w:rsidRPr="00781F0A" w:rsidRDefault="00781F0A" w:rsidP="00781F0A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781F0A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093535" cy="2980469"/>
            <wp:effectExtent l="0" t="0" r="2540" b="0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73" cy="298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1F0A" w:rsidRPr="00781F0A" w:rsidSect="00781F0A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7D"/>
    <w:rsid w:val="000B157D"/>
    <w:rsid w:val="00781F0A"/>
    <w:rsid w:val="00A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5CDCA-4EAC-404E-B281-A504777A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81F0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81F0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81F0A"/>
  </w:style>
  <w:style w:type="character" w:customStyle="1" w:styleId="entry-author">
    <w:name w:val="entry-author"/>
    <w:basedOn w:val="a0"/>
    <w:rsid w:val="00781F0A"/>
  </w:style>
  <w:style w:type="character" w:styleId="a3">
    <w:name w:val="Hyperlink"/>
    <w:basedOn w:val="a0"/>
    <w:uiPriority w:val="99"/>
    <w:semiHidden/>
    <w:unhideWhenUsed/>
    <w:rsid w:val="00781F0A"/>
    <w:rPr>
      <w:color w:val="0000FF"/>
      <w:u w:val="single"/>
    </w:rPr>
  </w:style>
  <w:style w:type="character" w:customStyle="1" w:styleId="entry-comments-link">
    <w:name w:val="entry-comments-link"/>
    <w:basedOn w:val="a0"/>
    <w:rsid w:val="00781F0A"/>
  </w:style>
  <w:style w:type="paragraph" w:styleId="Web">
    <w:name w:val="Normal (Web)"/>
    <w:basedOn w:val="a"/>
    <w:uiPriority w:val="99"/>
    <w:semiHidden/>
    <w:unhideWhenUsed/>
    <w:rsid w:val="00781F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78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81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0.wp.com/www.cloud-lab.info/wp-content/uploads/2010/05/image20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2016-06-28T02:03:00Z</dcterms:created>
  <dcterms:modified xsi:type="dcterms:W3CDTF">2016-06-28T02:05:00Z</dcterms:modified>
</cp:coreProperties>
</file>